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="黑体"/>
          <w:b w:val="0"/>
          <w:sz w:val="36"/>
          <w:szCs w:val="36"/>
        </w:rPr>
      </w:pPr>
      <w:r>
        <w:rPr>
          <w:rFonts w:hint="eastAsia" w:eastAsia="黑体"/>
          <w:b w:val="0"/>
          <w:sz w:val="36"/>
          <w:szCs w:val="36"/>
        </w:rPr>
        <w:t>陕西华鑫特种钢铁集团有限公司</w:t>
      </w:r>
    </w:p>
    <w:p>
      <w:pPr>
        <w:pStyle w:val="2"/>
        <w:bidi w:val="0"/>
        <w:jc w:val="center"/>
        <w:rPr>
          <w:rFonts w:hint="eastAsia" w:eastAsia="黑体"/>
          <w:b w:val="0"/>
          <w:sz w:val="36"/>
          <w:szCs w:val="36"/>
          <w:lang w:eastAsia="zh-CN"/>
        </w:rPr>
      </w:pPr>
      <w:r>
        <w:rPr>
          <w:rFonts w:hint="eastAsia" w:eastAsia="黑体"/>
          <w:b w:val="0"/>
          <w:sz w:val="36"/>
          <w:szCs w:val="36"/>
          <w:lang w:eastAsia="zh-CN"/>
        </w:rPr>
        <w:t>污染防治设施建设及运行作</w:t>
      </w:r>
      <w:r>
        <w:rPr>
          <w:rFonts w:hint="eastAsia" w:eastAsia="黑体"/>
          <w:b w:val="0"/>
          <w:sz w:val="36"/>
          <w:szCs w:val="36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  <w:lang w:eastAsia="zh-CN"/>
        </w:rPr>
        <w:t>陕西华鑫特种钢铁集团有限公司</w:t>
      </w: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严格遵守国家</w:t>
      </w:r>
      <w:r>
        <w:rPr>
          <w:rFonts w:hint="eastAsia" w:eastAsia="仿宋" w:asciiTheme="majorEastAsia" w:hAnsiTheme="majorEastAsia" w:cstheme="majorEastAsia"/>
          <w:b w:val="0"/>
          <w:sz w:val="30"/>
          <w:szCs w:val="28"/>
          <w:lang w:eastAsia="zh-CN"/>
        </w:rPr>
        <w:t>环保</w:t>
      </w: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相关法律法规和其它要求，按照环保设施和生产设施同时设计、同时施工和同时投产使用的原则，对所有建设项目的污染源配置了达到国际、国内先进水平的、完善的环保防治设施，并按规定进行了竣工验收。2017年12月取得排污许可证，证号为：91610582730416913300P。2018年9月23日公司炼钢工艺废气排放口自动在线监测设备通过企业自主验收，9月27日在渭南市环保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textAlignment w:val="auto"/>
        <w:rPr>
          <w:rFonts w:hint="eastAsia" w:eastAsia="仿宋" w:asciiTheme="majorEastAsia" w:hAnsiTheme="majorEastAsia" w:cstheme="majorEastAsia"/>
          <w:b w:val="0"/>
          <w:bCs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bCs w:val="0"/>
          <w:sz w:val="30"/>
          <w:szCs w:val="28"/>
          <w:lang w:eastAsia="zh-CN"/>
        </w:rPr>
        <w:t>一</w:t>
      </w:r>
      <w:r>
        <w:rPr>
          <w:rFonts w:hint="eastAsia" w:eastAsia="仿宋" w:asciiTheme="majorEastAsia" w:hAnsiTheme="majorEastAsia" w:cstheme="majorEastAsia"/>
          <w:b w:val="0"/>
          <w:bCs w:val="0"/>
          <w:sz w:val="30"/>
          <w:szCs w:val="28"/>
        </w:rPr>
        <w:t>、企业污染物治理及排放状况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1、废气治理情况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炼钢生产系统两台60吨电炉分别配置有高效布袋除尘器，除尘烟气处理能力为130万m</w:t>
      </w:r>
      <w:r>
        <w:rPr>
          <w:rFonts w:hint="eastAsia" w:eastAsia="仿宋" w:asciiTheme="majorEastAsia" w:hAnsiTheme="majorEastAsia" w:cstheme="majorEastAsia"/>
          <w:b w:val="0"/>
          <w:sz w:val="30"/>
          <w:szCs w:val="28"/>
          <w:vertAlign w:val="superscript"/>
          <w:lang w:val="en-US" w:eastAsia="zh-CN"/>
        </w:rPr>
        <w:t>3</w:t>
      </w: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/h，废气均为通过烟气净化处理设施后经排放筒有组织排放。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2、废水治理情况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炼钢、轧钢系统生产冷却废水全部进入到集中废水处理系统进行处理。建设有炼钢冷却废水处理及轧钢废水处理，炼钢废水、轧钢废水处理系统为生产冷却废水处理系统，处理工艺为物理法，处理能力为500m</w:t>
      </w:r>
      <w:r>
        <w:rPr>
          <w:rFonts w:hint="eastAsia" w:eastAsia="仿宋" w:asciiTheme="majorEastAsia" w:hAnsiTheme="majorEastAsia" w:cstheme="majorEastAsia"/>
          <w:b w:val="0"/>
          <w:sz w:val="30"/>
          <w:szCs w:val="28"/>
          <w:vertAlign w:val="superscript"/>
          <w:lang w:val="en-US" w:eastAsia="zh-CN"/>
        </w:rPr>
        <w:t>3</w:t>
      </w: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/h；生产冷却废水全部循环使用，全厂废水零外排。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3、噪声污染防治措施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通过选择使用低噪声设备、对设备底座加装减震装置等措施进行噪声源头控制，并通过为生产线建设隔声厂房，为重点设备设置隔声间、安装隔声罩、实施隔音包扎，为排气口加装消声器等措施进行噪声污染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textAlignment w:val="auto"/>
        <w:rPr>
          <w:rFonts w:hint="eastAsia" w:eastAsia="仿宋" w:asciiTheme="majorEastAsia" w:hAnsiTheme="majorEastAsia" w:cstheme="majorEastAsia"/>
          <w:b w:val="0"/>
          <w:bCs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bCs w:val="0"/>
          <w:sz w:val="30"/>
          <w:szCs w:val="28"/>
          <w:lang w:eastAsia="zh-CN"/>
        </w:rPr>
        <w:t>二</w:t>
      </w:r>
      <w:r>
        <w:rPr>
          <w:rFonts w:hint="eastAsia" w:eastAsia="仿宋" w:asciiTheme="majorEastAsia" w:hAnsiTheme="majorEastAsia" w:cstheme="majorEastAsia"/>
          <w:b w:val="0"/>
          <w:bCs w:val="0"/>
          <w:sz w:val="30"/>
          <w:szCs w:val="28"/>
        </w:rPr>
        <w:t>、自行监测内容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根据钢铁工业《排污许可证申请与核发技术规范》HJ846-2017)以及《排污单位自行监测技术指南总则》HJ819-2017)，确定自行监测的内容包括：大气污染物颗粒物有组织排放监测，二嘿英排放监测，厂界、炼钢车间、轧钢车间颗粒物无组织排放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textAlignment w:val="auto"/>
        <w:rPr>
          <w:rFonts w:hint="eastAsia" w:eastAsia="仿宋" w:asciiTheme="majorEastAsia" w:hAnsiTheme="majorEastAsia" w:cstheme="majorEastAsia"/>
          <w:b w:val="0"/>
          <w:bCs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bCs w:val="0"/>
          <w:sz w:val="30"/>
          <w:szCs w:val="28"/>
        </w:rPr>
        <w:t>四、自行监测开展的方式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1、本公司二嘿英排放监测，厂界、炼钢车间、轧钢车间颗粒物无组织排放监测，采用手工监测的方式开展，委托有资质的社会检测机构进行监测。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2、自动在线监测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炼钢生产工艺主要排放口安装了自动在线监测系统，监测因子烟气流量（流速)、烟气温度、氧量、颗粒物，与环保检测平台实现联网，并通过验收和备案。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textAlignment w:val="auto"/>
        <w:rPr>
          <w:rFonts w:hint="eastAsia" w:eastAsia="仿宋" w:asciiTheme="majorEastAsia" w:hAnsiTheme="majorEastAsia" w:cstheme="majorEastAsia"/>
          <w:b w:val="0"/>
          <w:bCs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bCs w:val="0"/>
          <w:sz w:val="30"/>
          <w:szCs w:val="28"/>
        </w:rPr>
        <w:t>五、监测项目、监测频次及排放标准限值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textAlignment w:val="auto"/>
        <w:rPr>
          <w:rFonts w:hint="eastAsia" w:eastAsia="仿宋" w:asciiTheme="majorEastAsia" w:hAnsiTheme="majorEastAsia" w:cstheme="majorEastAsia"/>
          <w:b w:val="0"/>
          <w:bCs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bCs/>
          <w:sz w:val="30"/>
          <w:szCs w:val="28"/>
        </w:rPr>
        <w:t>（一)废气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废气主要排放源电炉除尘排放口，电炉颗粒物排放执行《关中地区重点行业大气污染物排放限值》(DB61/941-2014)，二嘿英排放执行《炼钢大气污染物排放标准》(GB28664-2012)标准限值，炼钢车间颗粒物无组织排放执行《炼钢大气污染物排放标准》（GB28664-2012）标准限值，轧钢车间颗粒物无组织排放执行《炼钢大气污染物排放标准》(GB28665-2012)标准限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废气监测点位、监测项目及监测频次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962"/>
        <w:gridCol w:w="1420"/>
        <w:gridCol w:w="1368"/>
        <w:gridCol w:w="145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bCs/>
                <w:sz w:val="30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bCs/>
                <w:sz w:val="30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bCs/>
                <w:sz w:val="30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bCs/>
                <w:sz w:val="30"/>
                <w:szCs w:val="28"/>
              </w:rPr>
              <w:t>污染源名称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bCs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bCs/>
                <w:sz w:val="30"/>
                <w:szCs w:val="28"/>
              </w:rPr>
              <w:t>监测点位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bCs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bCs/>
                <w:sz w:val="30"/>
                <w:szCs w:val="28"/>
              </w:rPr>
              <w:t>监测项目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bCs/>
                <w:sz w:val="30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bCs/>
                <w:sz w:val="30"/>
                <w:szCs w:val="28"/>
              </w:rPr>
              <w:t>监测频</w:t>
            </w:r>
            <w:r>
              <w:rPr>
                <w:rFonts w:hint="eastAsia" w:eastAsia="仿宋" w:asciiTheme="majorEastAsia" w:hAnsiTheme="majorEastAsia" w:cstheme="majorEastAsia"/>
                <w:b w:val="0"/>
                <w:bCs/>
                <w:sz w:val="30"/>
                <w:szCs w:val="28"/>
                <w:lang w:eastAsia="zh-CN"/>
              </w:rPr>
              <w:t>次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bCs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bCs/>
                <w:sz w:val="30"/>
                <w:szCs w:val="28"/>
              </w:rPr>
              <w:t>排放限值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jc w:val="center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电炉炼钢除尘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排放筒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颗粒物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在线连续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ascii="宋体" w:hAnsi="宋体" w:eastAsia="仿宋" w:cs="宋体"/>
                <w:b w:val="0"/>
                <w:sz w:val="30"/>
                <w:szCs w:val="28"/>
              </w:rPr>
              <w:t>≦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lang w:val="en-US" w:eastAsia="zh-CN"/>
              </w:rPr>
              <w:t>15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mg/Nm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jc w:val="center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电炉炼钢除尘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排放筒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二嗯英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每年一次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ascii="宋体" w:hAnsi="宋体" w:eastAsia="仿宋" w:cs="宋体"/>
                <w:b w:val="0"/>
                <w:sz w:val="30"/>
                <w:szCs w:val="28"/>
              </w:rPr>
              <w:t>≦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lang w:val="en-US" w:eastAsia="zh-CN"/>
              </w:rPr>
              <w:t>0.5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mg/Nm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jc w:val="center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电炉车间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车间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颗粒物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每季一次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ascii="宋体" w:hAnsi="宋体" w:eastAsia="仿宋" w:cs="宋体"/>
                <w:b w:val="0"/>
                <w:sz w:val="30"/>
                <w:szCs w:val="28"/>
              </w:rPr>
              <w:t>≦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8mg/Nm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jc w:val="center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轧钢车间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车间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颗粒物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每季一次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ascii="宋体" w:hAnsi="宋体" w:eastAsia="仿宋" w:cs="宋体"/>
                <w:b w:val="0"/>
                <w:sz w:val="30"/>
                <w:szCs w:val="28"/>
              </w:rPr>
              <w:t>≦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lang w:val="en-US" w:eastAsia="zh-CN"/>
              </w:rPr>
              <w:t>5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mg/Nm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jc w:val="center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车间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  <w:lang w:eastAsia="zh-CN"/>
              </w:rPr>
              <w:t>厂界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颗粒物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每季一次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textAlignment w:val="auto"/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baseline"/>
              </w:rPr>
            </w:pPr>
            <w:r>
              <w:rPr>
                <w:rFonts w:hint="eastAsia" w:ascii="宋体" w:hAnsi="宋体" w:eastAsia="仿宋" w:cs="宋体"/>
                <w:b w:val="0"/>
                <w:sz w:val="30"/>
                <w:szCs w:val="28"/>
              </w:rPr>
              <w:t>≦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lang w:val="en-US" w:eastAsia="zh-CN"/>
              </w:rPr>
              <w:t>5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</w:rPr>
              <w:t>mg/Nm</w:t>
            </w:r>
            <w:r>
              <w:rPr>
                <w:rFonts w:hint="eastAsia" w:eastAsia="仿宋" w:asciiTheme="majorEastAsia" w:hAnsiTheme="majorEastAsia" w:cstheme="majorEastAsia"/>
                <w:b w:val="0"/>
                <w:sz w:val="30"/>
                <w:szCs w:val="28"/>
                <w:vertAlign w:val="superscript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760" w:lineRule="exact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2、监测方法及使用仪器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废气污染物监测方法及使用仪器情况见下表。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jc w:val="center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bCs/>
          <w:sz w:val="30"/>
          <w:szCs w:val="28"/>
        </w:rPr>
        <w:t>废气污染物监测方法及使用仪器一览表</w:t>
      </w:r>
    </w:p>
    <w:tbl>
      <w:tblPr>
        <w:tblStyle w:val="3"/>
        <w:tblW w:w="8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3266"/>
        <w:gridCol w:w="2977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jc w:val="center"/>
              <w:textAlignment w:val="auto"/>
              <w:rPr>
                <w:rFonts w:hint="eastAsia" w:eastAsia="仿宋"/>
                <w:b w:val="0"/>
                <w:sz w:val="30"/>
              </w:rPr>
            </w:pPr>
            <w:r>
              <w:rPr>
                <w:rFonts w:hint="eastAsia" w:eastAsia="仿宋"/>
                <w:b w:val="0"/>
                <w:sz w:val="30"/>
              </w:rPr>
              <w:t>监测项目</w:t>
            </w:r>
          </w:p>
        </w:tc>
        <w:tc>
          <w:tcPr>
            <w:tcW w:w="3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jc w:val="center"/>
              <w:textAlignment w:val="auto"/>
              <w:rPr>
                <w:rFonts w:hint="eastAsia" w:eastAsia="仿宋"/>
                <w:b w:val="0"/>
                <w:sz w:val="30"/>
              </w:rPr>
            </w:pPr>
            <w:r>
              <w:rPr>
                <w:rFonts w:hint="eastAsia" w:eastAsia="仿宋"/>
                <w:b w:val="0"/>
                <w:sz w:val="30"/>
              </w:rPr>
              <w:t>监测方式及依据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jc w:val="center"/>
              <w:textAlignment w:val="auto"/>
              <w:rPr>
                <w:rFonts w:hint="eastAsia" w:eastAsia="仿宋"/>
                <w:b w:val="0"/>
                <w:sz w:val="30"/>
              </w:rPr>
            </w:pPr>
            <w:r>
              <w:rPr>
                <w:rFonts w:hint="eastAsia" w:eastAsia="仿宋"/>
                <w:b w:val="0"/>
                <w:sz w:val="30"/>
              </w:rPr>
              <w:t>仪器设备名称和型号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jc w:val="center"/>
              <w:textAlignment w:val="auto"/>
              <w:rPr>
                <w:rFonts w:hint="eastAsia" w:eastAsia="仿宋"/>
                <w:b w:val="0"/>
                <w:sz w:val="30"/>
              </w:rPr>
            </w:pPr>
            <w:r>
              <w:rPr>
                <w:rFonts w:hint="eastAsia" w:eastAsia="仿宋"/>
                <w:b w:val="0"/>
                <w:sz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jc w:val="center"/>
              <w:textAlignment w:val="auto"/>
              <w:rPr>
                <w:rFonts w:hint="eastAsia" w:eastAsia="仿宋"/>
                <w:b w:val="0"/>
                <w:sz w:val="30"/>
              </w:rPr>
            </w:pPr>
            <w:r>
              <w:rPr>
                <w:rFonts w:hint="eastAsia" w:eastAsia="仿宋"/>
                <w:b w:val="0"/>
                <w:sz w:val="30"/>
              </w:rPr>
              <w:t>颗粒物</w:t>
            </w:r>
          </w:p>
        </w:tc>
        <w:tc>
          <w:tcPr>
            <w:tcW w:w="3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jc w:val="center"/>
              <w:textAlignment w:val="auto"/>
              <w:rPr>
                <w:rFonts w:hint="eastAsia" w:ascii="宋体" w:hAnsi="宋体" w:eastAsia="仿宋"/>
                <w:b w:val="0"/>
                <w:sz w:val="30"/>
                <w:lang w:val="en-US" w:eastAsia="zh-CN"/>
              </w:rPr>
            </w:pPr>
            <w:r>
              <w:rPr>
                <w:rFonts w:ascii="宋体" w:hAnsi="宋体" w:eastAsia="仿宋"/>
                <w:b w:val="0"/>
                <w:sz w:val="30"/>
              </w:rPr>
              <w:t>《固定污染源</w:t>
            </w:r>
            <w:r>
              <w:rPr>
                <w:rFonts w:hint="eastAsia" w:ascii="宋体" w:hAnsi="宋体" w:eastAsia="仿宋"/>
                <w:b w:val="0"/>
                <w:sz w:val="30"/>
                <w:lang w:eastAsia="zh-CN"/>
              </w:rPr>
              <w:t>烟气排放连续监测技术规范</w:t>
            </w:r>
            <w:r>
              <w:rPr>
                <w:rFonts w:ascii="宋体" w:hAnsi="宋体" w:eastAsia="仿宋"/>
                <w:b w:val="0"/>
                <w:sz w:val="30"/>
              </w:rPr>
              <w:t>》</w:t>
            </w:r>
            <w:r>
              <w:rPr>
                <w:rFonts w:hint="eastAsia" w:ascii="宋体" w:hAnsi="宋体" w:eastAsia="仿宋"/>
                <w:b w:val="0"/>
                <w:sz w:val="30"/>
              </w:rPr>
              <w:t xml:space="preserve">  </w:t>
            </w:r>
            <w:r>
              <w:rPr>
                <w:rFonts w:hint="eastAsia" w:ascii="宋体" w:hAnsi="宋体" w:eastAsia="仿宋"/>
                <w:b w:val="0"/>
                <w:sz w:val="30"/>
                <w:lang w:val="en-US" w:eastAsia="zh-CN"/>
              </w:rPr>
              <w:t>HJ75-2017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jc w:val="center"/>
              <w:textAlignment w:val="auto"/>
              <w:rPr>
                <w:rFonts w:hint="eastAsia" w:eastAsia="仿宋"/>
                <w:b w:val="0"/>
                <w:sz w:val="30"/>
              </w:rPr>
            </w:pPr>
            <w:r>
              <w:rPr>
                <w:rFonts w:hint="eastAsia" w:ascii="宋体" w:hAnsi="宋体" w:eastAsia="仿宋"/>
                <w:b w:val="0"/>
                <w:sz w:val="30"/>
                <w:szCs w:val="32"/>
                <w:lang w:val="en-US" w:eastAsia="zh-CN"/>
              </w:rPr>
              <w:t>CEMS-2001型号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60" w:lineRule="exact"/>
              <w:jc w:val="center"/>
              <w:textAlignment w:val="auto"/>
              <w:rPr>
                <w:rFonts w:hint="eastAsia" w:eastAsia="仿宋"/>
                <w:b w:val="0"/>
                <w:sz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textAlignment w:val="auto"/>
        <w:rPr>
          <w:rFonts w:hint="eastAsia" w:eastAsia="仿宋" w:asciiTheme="majorEastAsia" w:hAnsiTheme="majorEastAsia" w:cstheme="majorEastAsia"/>
          <w:b w:val="0"/>
          <w:bCs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bCs/>
          <w:sz w:val="30"/>
          <w:szCs w:val="28"/>
        </w:rPr>
        <w:t>（二）厂界噪声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厂界环境噪声排放执行《工业企业厂界环境噪声排放标准》（GB12348-2008）表1中II类标准限值。监测项目及频次详见表2。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jc w:val="center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表2厂界环境噪声监测频次、排放限值一览表</w:t>
      </w: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3048"/>
        <w:gridCol w:w="2051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64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监测点位</w:t>
            </w:r>
          </w:p>
        </w:tc>
        <w:tc>
          <w:tcPr>
            <w:tcW w:w="304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监测频次</w:t>
            </w:r>
          </w:p>
        </w:tc>
        <w:tc>
          <w:tcPr>
            <w:tcW w:w="381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排放限值(单位：分贝)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6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</w:p>
        </w:tc>
        <w:tc>
          <w:tcPr>
            <w:tcW w:w="30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昼间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夜间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东厂界</w:t>
            </w:r>
          </w:p>
        </w:tc>
        <w:tc>
          <w:tcPr>
            <w:tcW w:w="30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  <w:lang w:val="en-US" w:eastAsia="zh-CN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每</w:t>
            </w:r>
            <w:r>
              <w:rPr>
                <w:rFonts w:hint="eastAsia" w:ascii="仿宋_GB2312" w:eastAsia="仿宋"/>
                <w:b w:val="0"/>
                <w:sz w:val="30"/>
                <w:szCs w:val="28"/>
                <w:lang w:eastAsia="zh-CN"/>
              </w:rPr>
              <w:t>半年</w:t>
            </w:r>
            <w:r>
              <w:rPr>
                <w:rFonts w:hint="eastAsia" w:ascii="仿宋_GB2312" w:eastAsia="仿宋"/>
                <w:b w:val="0"/>
                <w:sz w:val="30"/>
                <w:szCs w:val="28"/>
                <w:lang w:val="en-US" w:eastAsia="zh-CN"/>
              </w:rPr>
              <w:t>1次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≤65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≤55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南厂界</w:t>
            </w:r>
          </w:p>
        </w:tc>
        <w:tc>
          <w:tcPr>
            <w:tcW w:w="3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≤65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≤55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西厂界</w:t>
            </w:r>
          </w:p>
        </w:tc>
        <w:tc>
          <w:tcPr>
            <w:tcW w:w="3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≤65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≤55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北厂界</w:t>
            </w:r>
          </w:p>
        </w:tc>
        <w:tc>
          <w:tcPr>
            <w:tcW w:w="3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≤65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60" w:lineRule="exact"/>
              <w:jc w:val="center"/>
              <w:textAlignment w:val="auto"/>
              <w:rPr>
                <w:rFonts w:hint="eastAsia" w:ascii="仿宋_GB2312" w:eastAsia="仿宋"/>
                <w:b w:val="0"/>
                <w:sz w:val="30"/>
                <w:szCs w:val="28"/>
              </w:rPr>
            </w:pPr>
            <w:r>
              <w:rPr>
                <w:rFonts w:hint="eastAsia" w:ascii="仿宋_GB2312" w:eastAsia="仿宋"/>
                <w:b w:val="0"/>
                <w:sz w:val="30"/>
                <w:szCs w:val="28"/>
              </w:rPr>
              <w:t>≤55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eastAsia="仿宋" w:asciiTheme="majorEastAsia" w:hAnsiTheme="majorEastAsia" w:cstheme="majorEastAsia"/>
          <w:b w:val="0"/>
          <w:bCs w:val="0"/>
          <w:sz w:val="30"/>
          <w:szCs w:val="28"/>
          <w:lang w:eastAsia="zh-CN"/>
        </w:rPr>
      </w:pPr>
      <w:r>
        <w:rPr>
          <w:rFonts w:hint="eastAsia" w:eastAsia="仿宋" w:asciiTheme="majorEastAsia" w:hAnsiTheme="majorEastAsia" w:cstheme="majorEastAsia"/>
          <w:b w:val="0"/>
          <w:bCs w:val="0"/>
          <w:sz w:val="30"/>
          <w:szCs w:val="28"/>
        </w:rPr>
        <w:t>六、</w:t>
      </w:r>
      <w:r>
        <w:rPr>
          <w:rFonts w:hint="eastAsia" w:eastAsia="仿宋" w:asciiTheme="majorEastAsia" w:hAnsiTheme="majorEastAsia" w:cstheme="majorEastAsia"/>
          <w:b w:val="0"/>
          <w:bCs w:val="0"/>
          <w:sz w:val="30"/>
          <w:szCs w:val="28"/>
          <w:lang w:eastAsia="zh-CN"/>
        </w:rPr>
        <w:t>日常管理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600" w:firstLineChars="200"/>
        <w:textAlignment w:val="auto"/>
        <w:rPr>
          <w:rFonts w:hint="eastAsia" w:ascii="楷体_GB2312" w:eastAsia="仿宋"/>
          <w:b w:val="0"/>
          <w:sz w:val="30"/>
          <w:szCs w:val="32"/>
        </w:rPr>
      </w:pPr>
      <w:r>
        <w:rPr>
          <w:rFonts w:hint="eastAsia" w:eastAsia="仿宋"/>
          <w:b w:val="0"/>
          <w:sz w:val="30"/>
          <w:szCs w:val="30"/>
          <w:lang w:eastAsia="zh-CN"/>
        </w:rPr>
        <w:t>污染防治是我公司的一项重要管理工作，由生产副总亲自抓，成立了公司安全环保科，专门负责环保工作的日常管理。</w:t>
      </w:r>
      <w:r>
        <w:rPr>
          <w:rFonts w:hint="eastAsia" w:eastAsia="仿宋"/>
          <w:b w:val="0"/>
          <w:sz w:val="30"/>
          <w:szCs w:val="30"/>
        </w:rPr>
        <w:t>在今后的工作中，我公司将环保工作</w:t>
      </w:r>
      <w:r>
        <w:rPr>
          <w:rFonts w:hint="eastAsia" w:eastAsia="仿宋"/>
          <w:b w:val="0"/>
          <w:sz w:val="30"/>
          <w:szCs w:val="30"/>
          <w:lang w:eastAsia="zh-CN"/>
        </w:rPr>
        <w:t>要</w:t>
      </w:r>
      <w:r>
        <w:rPr>
          <w:rFonts w:hint="eastAsia" w:eastAsia="仿宋"/>
          <w:b w:val="0"/>
          <w:sz w:val="30"/>
          <w:szCs w:val="30"/>
        </w:rPr>
        <w:t>放在生产经营的首要地位，进一步加强</w:t>
      </w:r>
      <w:r>
        <w:rPr>
          <w:rFonts w:hint="eastAsia" w:eastAsia="仿宋"/>
          <w:b w:val="0"/>
          <w:color w:val="000000"/>
          <w:sz w:val="30"/>
          <w:szCs w:val="30"/>
          <w:shd w:val="clear" w:color="auto" w:fill="FFFFFF"/>
        </w:rPr>
        <w:t>宣传</w:t>
      </w:r>
      <w:r>
        <w:rPr>
          <w:rFonts w:hint="eastAsia" w:eastAsia="仿宋"/>
          <w:b w:val="0"/>
          <w:sz w:val="30"/>
          <w:szCs w:val="30"/>
          <w:shd w:val="clear" w:color="auto" w:fill="FFFFFF"/>
        </w:rPr>
        <w:t>教育，提高全厂员工的环保意识和操作水平，狠抓</w:t>
      </w:r>
      <w:r>
        <w:rPr>
          <w:rFonts w:hint="eastAsia" w:ascii="楷体_GB2312" w:eastAsia="仿宋"/>
          <w:b w:val="0"/>
          <w:sz w:val="30"/>
          <w:szCs w:val="32"/>
        </w:rPr>
        <w:t>环保设施</w:t>
      </w:r>
      <w:r>
        <w:rPr>
          <w:rFonts w:hint="eastAsia" w:eastAsia="仿宋"/>
          <w:b w:val="0"/>
          <w:sz w:val="30"/>
          <w:szCs w:val="30"/>
          <w:shd w:val="clear" w:color="auto" w:fill="FFFFFF"/>
        </w:rPr>
        <w:t>的管理和运行，</w:t>
      </w:r>
      <w:r>
        <w:rPr>
          <w:rFonts w:hint="eastAsia" w:eastAsia="仿宋"/>
          <w:b w:val="0"/>
          <w:sz w:val="30"/>
          <w:szCs w:val="30"/>
          <w:shd w:val="clear" w:color="auto" w:fill="FFFFFF"/>
          <w:lang w:eastAsia="zh-CN"/>
        </w:rPr>
        <w:t>保证污染物超低达标排放，进一步</w:t>
      </w:r>
      <w:r>
        <w:rPr>
          <w:rFonts w:hint="eastAsia" w:eastAsia="仿宋"/>
          <w:b w:val="0"/>
          <w:sz w:val="30"/>
          <w:szCs w:val="30"/>
          <w:shd w:val="clear" w:color="auto" w:fill="FFFFFF"/>
        </w:rPr>
        <w:t>加大环保投资力度，使我公司的环境保护工作再上新台阶。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textAlignment w:val="auto"/>
        <w:rPr>
          <w:rFonts w:hint="eastAsia" w:eastAsia="仿宋" w:asciiTheme="majorEastAsia" w:hAnsiTheme="majorEastAsia" w:cstheme="majorEastAsia"/>
          <w:b w:val="0"/>
          <w:sz w:val="3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ind w:firstLine="4800" w:firstLineChars="1600"/>
        <w:textAlignment w:val="auto"/>
        <w:rPr>
          <w:rFonts w:hint="eastAsia" w:eastAsia="仿宋"/>
          <w:b w:val="0"/>
          <w:sz w:val="30"/>
          <w:lang w:eastAsia="zh-CN"/>
        </w:rPr>
      </w:pP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二0二0年</w:t>
      </w:r>
      <w:r>
        <w:rPr>
          <w:rFonts w:hint="eastAsia" w:eastAsia="仿宋" w:asciiTheme="majorEastAsia" w:hAnsiTheme="majorEastAsia" w:cstheme="majorEastAsia"/>
          <w:b w:val="0"/>
          <w:sz w:val="30"/>
          <w:szCs w:val="28"/>
          <w:lang w:eastAsia="zh-CN"/>
        </w:rPr>
        <w:t>六</w:t>
      </w: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月</w:t>
      </w:r>
      <w:r>
        <w:rPr>
          <w:rFonts w:hint="eastAsia" w:eastAsia="仿宋" w:asciiTheme="majorEastAsia" w:hAnsiTheme="majorEastAsia" w:cstheme="majorEastAsia"/>
          <w:b w:val="0"/>
          <w:sz w:val="30"/>
          <w:szCs w:val="28"/>
          <w:lang w:eastAsia="zh-CN"/>
        </w:rPr>
        <w:t>十八</w:t>
      </w:r>
      <w:r>
        <w:rPr>
          <w:rFonts w:hint="eastAsia" w:eastAsia="仿宋" w:asciiTheme="majorEastAsia" w:hAnsiTheme="majorEastAsia" w:cstheme="majorEastAsia"/>
          <w:b w:val="0"/>
          <w:sz w:val="30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E049"/>
    <w:multiLevelType w:val="singleLevel"/>
    <w:tmpl w:val="27A8E0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471B0"/>
    <w:rsid w:val="239026AF"/>
    <w:rsid w:val="2D99447C"/>
    <w:rsid w:val="3F64298F"/>
    <w:rsid w:val="4C563426"/>
    <w:rsid w:val="581E2B8F"/>
    <w:rsid w:val="5D433235"/>
    <w:rsid w:val="653D30EC"/>
    <w:rsid w:val="653E608B"/>
    <w:rsid w:val="6D7730E7"/>
    <w:rsid w:val="6FDE3ECC"/>
    <w:rsid w:val="72BE1665"/>
    <w:rsid w:val="77C4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2019-07-29T07:00:00Z</dcterms:created>
  <dc:creator>华山青松</dc:creator>
  <cp:lastModifiedBy>Administrator</cp:lastModifiedBy>
  <dcterms:modified xsi:type="dcterms:W3CDTF">2020-06-18T05:33:03Z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